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City of Edinburgh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City of Edinburgh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City of Edinburgh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City of Edinburgh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City of Edinburgh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City of Edinburgh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City of Edinburgh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City of Edinburgh is estimated to be </w:t>
      </w:r>
      <w:r w:rsidRPr="00773DF7">
        <w:rPr>
          <w:rFonts w:ascii="Libre Franklin Light" w:eastAsia="Times New Roman" w:hAnsi="Libre Franklin Light" w:cs="Calibri Light"/>
          <w:b/>
          <w:bCs/>
          <w:color w:val="C45911" w:themeColor="accent2" w:themeShade="BF"/>
        </w:rPr>
        <w:t xml:space="preserve">£11,986,432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City of Edinburgh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Edinburgh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City of Edinburgh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City of Edinburgh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ity of Edinbur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City of Edinburgh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ity of Edinbur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City of Edinburgh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Edinburgh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ity of Edinbur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City of Edinburgh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City of Edinburgh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City of Edinburgh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City of Edinburgh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City of Edinburgh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City of Edinburgh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£11,986,432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City of Edinburgh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£195,239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£4,037,659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£289,244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£81,350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£149,141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£7,233,799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£11,986,432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City of Edinburgh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City of Edinburgh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Edinburgh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Edinburgh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Edinburgh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City of Edinburgh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City of Edinburgh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City of Edinburgh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Edinburgh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City of Edinburgh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City of Edinburgh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City of Edinburgh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C711939-D940-4849-AE72-7B7DD5C0516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